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804" w:rsidRPr="00EB186D" w:rsidRDefault="00EB186D" w:rsidP="00D63804">
      <w:pPr>
        <w:rPr>
          <w:b/>
        </w:rPr>
      </w:pPr>
      <w:r w:rsidRPr="00EB186D">
        <w:rPr>
          <w:b/>
        </w:rPr>
        <w:t xml:space="preserve">Summary: </w:t>
      </w:r>
      <w:r w:rsidR="00D63804" w:rsidRPr="00EB186D">
        <w:rPr>
          <w:b/>
        </w:rPr>
        <w:t>ELL students at university:  Loss of educational capital, a pilot study</w:t>
      </w:r>
    </w:p>
    <w:p w:rsidR="00D63804" w:rsidRDefault="00D63804" w:rsidP="00D63804"/>
    <w:p w:rsidR="008034A2" w:rsidRPr="008034A2" w:rsidRDefault="008034A2" w:rsidP="00D63804">
      <w:pPr>
        <w:rPr>
          <w:b/>
        </w:rPr>
      </w:pPr>
      <w:r w:rsidRPr="008034A2">
        <w:rPr>
          <w:b/>
        </w:rPr>
        <w:t xml:space="preserve">Rationale: </w:t>
      </w:r>
    </w:p>
    <w:p w:rsidR="00D63804" w:rsidRDefault="00D63804" w:rsidP="00D63804">
      <w:r>
        <w:t xml:space="preserve">The demographic profile of Canada is shifting rapidly to include rapidly increasing numbers of immigrant children and children of immigrants. This arises as a consequence of various </w:t>
      </w:r>
      <w:r w:rsidR="00A13356">
        <w:t xml:space="preserve">domestic </w:t>
      </w:r>
      <w:r>
        <w:t xml:space="preserve">population and economic trends. Like most western countries, </w:t>
      </w:r>
      <w:r w:rsidR="00A13356">
        <w:t xml:space="preserve">Canada has </w:t>
      </w:r>
      <w:r>
        <w:t>a shrinking population, a low fertility rate, and the economy is shifting in the global context to one based on value added manufacturing, information processing and communication technology.  This requires a highly educated, literate work force for today and increasingly so, for the future.  Only a hot commodities market</w:t>
      </w:r>
      <w:r w:rsidR="00A13356">
        <w:t xml:space="preserve">, especially in the oil and gas sector, </w:t>
      </w:r>
      <w:r>
        <w:t xml:space="preserve">is temporarily protecting Canada from an economic slump. </w:t>
      </w:r>
      <w:r w:rsidR="00A13356">
        <w:t xml:space="preserve">We can buy ourselves only so much time. </w:t>
      </w:r>
    </w:p>
    <w:p w:rsidR="00D63804" w:rsidRDefault="00D63804" w:rsidP="00D63804"/>
    <w:p w:rsidR="00D63804" w:rsidRDefault="00D63804" w:rsidP="00D63804">
      <w:r>
        <w:t>In short, Canada is dependent for its human resource needs of the future on immigrants</w:t>
      </w:r>
      <w:r w:rsidR="00A13356">
        <w:t xml:space="preserve"> </w:t>
      </w:r>
      <w:r>
        <w:t xml:space="preserve">and their children. </w:t>
      </w:r>
      <w:r w:rsidR="008034A2">
        <w:t xml:space="preserve">The majority of these newcomers will require English language learning support. </w:t>
      </w:r>
      <w:r>
        <w:t xml:space="preserve">There is mounting </w:t>
      </w:r>
      <w:r w:rsidR="006F2804">
        <w:t xml:space="preserve">research </w:t>
      </w:r>
      <w:r>
        <w:t>evidence that these children are not achieving commensurate with their academic potential in the k – 12 system</w:t>
      </w:r>
      <w:r w:rsidR="00A13356">
        <w:t xml:space="preserve">, in disproportionate numbers they fail to meet admission requirements to tertiary education programs, and for the few who do meet entrance requirements little is known about their educational progress and achievement in these settings. </w:t>
      </w:r>
    </w:p>
    <w:p w:rsidR="00A13356" w:rsidRDefault="00A13356" w:rsidP="00D63804"/>
    <w:p w:rsidR="008034A2" w:rsidRDefault="00A13356" w:rsidP="00D63804">
      <w:r>
        <w:t>This study</w:t>
      </w:r>
      <w:r w:rsidR="008034A2">
        <w:t>, therefore,</w:t>
      </w:r>
      <w:r>
        <w:t xml:space="preserve"> sought to gain preliminary insights into the learning trajector</w:t>
      </w:r>
      <w:r w:rsidR="006F2804">
        <w:t>ies</w:t>
      </w:r>
      <w:r>
        <w:t xml:space="preserve"> of students </w:t>
      </w:r>
      <w:r w:rsidR="007B7BDB">
        <w:t xml:space="preserve">at the University of Calgary (U. of C.) </w:t>
      </w:r>
      <w:r>
        <w:t xml:space="preserve">who had been </w:t>
      </w:r>
      <w:r w:rsidR="008034A2">
        <w:t>English language learners (</w:t>
      </w:r>
      <w:r>
        <w:t>E</w:t>
      </w:r>
      <w:r w:rsidR="008034A2">
        <w:t>L</w:t>
      </w:r>
      <w:r>
        <w:t>L</w:t>
      </w:r>
      <w:r w:rsidR="008034A2">
        <w:t>)</w:t>
      </w:r>
      <w:r>
        <w:t xml:space="preserve"> learners at some point in their k – 12 </w:t>
      </w:r>
      <w:r w:rsidR="007B7BDB">
        <w:t xml:space="preserve">(Calgary Board of Education: CBE) </w:t>
      </w:r>
      <w:r>
        <w:t xml:space="preserve">schooling experiences. </w:t>
      </w:r>
      <w:r w:rsidR="008034A2">
        <w:t>The broad question that frames this inquiry is as follows:</w:t>
      </w:r>
    </w:p>
    <w:p w:rsidR="008034A2" w:rsidRDefault="008034A2" w:rsidP="00D63804">
      <w:r>
        <w:t xml:space="preserve">     </w:t>
      </w:r>
      <w:r>
        <w:tab/>
      </w:r>
    </w:p>
    <w:tbl>
      <w:tblPr>
        <w:tblStyle w:val="TableGrid"/>
        <w:tblW w:w="0" w:type="auto"/>
        <w:tblLook w:val="04A0"/>
      </w:tblPr>
      <w:tblGrid>
        <w:gridCol w:w="9576"/>
      </w:tblGrid>
      <w:tr w:rsidR="008034A2" w:rsidTr="008034A2">
        <w:tc>
          <w:tcPr>
            <w:tcW w:w="9576" w:type="dxa"/>
          </w:tcPr>
          <w:p w:rsidR="008034A2" w:rsidRDefault="008034A2" w:rsidP="00D63804">
            <w:pPr>
              <w:numPr>
                <w:ilvl w:val="0"/>
                <w:numId w:val="1"/>
              </w:numPr>
            </w:pPr>
            <w:r w:rsidRPr="008161A8">
              <w:t xml:space="preserve">How does the undergraduate academic achievement of </w:t>
            </w:r>
            <w:r>
              <w:t xml:space="preserve">ELL of different age on arrival (AOA) cohorts </w:t>
            </w:r>
            <w:r w:rsidRPr="008161A8">
              <w:t xml:space="preserve">who have graduated from local Calgary high schools compare to that of their </w:t>
            </w:r>
            <w:r>
              <w:t xml:space="preserve">NS </w:t>
            </w:r>
            <w:r w:rsidRPr="008161A8">
              <w:t>counterparts?</w:t>
            </w:r>
          </w:p>
          <w:p w:rsidR="008034A2" w:rsidRDefault="008034A2" w:rsidP="00D63804"/>
        </w:tc>
      </w:tr>
    </w:tbl>
    <w:p w:rsidR="008034A2" w:rsidRDefault="008034A2" w:rsidP="00D63804"/>
    <w:p w:rsidR="00A13356" w:rsidRDefault="008034A2" w:rsidP="00D63804">
      <w:pPr>
        <w:rPr>
          <w:b/>
        </w:rPr>
      </w:pPr>
      <w:r w:rsidRPr="008034A2">
        <w:rPr>
          <w:b/>
        </w:rPr>
        <w:t>Methodology:</w:t>
      </w:r>
      <w:r w:rsidR="00A13356" w:rsidRPr="008034A2">
        <w:rPr>
          <w:b/>
        </w:rPr>
        <w:t xml:space="preserve"> </w:t>
      </w:r>
    </w:p>
    <w:p w:rsidR="00F6419F" w:rsidRDefault="007B7BDB" w:rsidP="00D63804">
      <w:r>
        <w:t xml:space="preserve">The study sample consists of 74 ELL students who had arrived in the CBE aged 14+; 54 ELL who had arrived at younger than age 14; and for comparison purposes, 120 native speakers (NS) taken randomly from the U. of C. data base. </w:t>
      </w:r>
      <w:r w:rsidR="00F6419F">
        <w:t xml:space="preserve">The students </w:t>
      </w:r>
      <w:r w:rsidR="00490C16">
        <w:t xml:space="preserve">attended </w:t>
      </w:r>
      <w:r w:rsidR="00F6419F">
        <w:t xml:space="preserve">U. of C. between 1996 and 2002, ensuring sufficient time for the majority of students to have completed their programs by </w:t>
      </w:r>
      <w:r w:rsidR="00490C16">
        <w:t xml:space="preserve">the time our study commenced in </w:t>
      </w:r>
      <w:r w:rsidR="00F6419F">
        <w:t>2008.</w:t>
      </w:r>
    </w:p>
    <w:p w:rsidR="00F6419F" w:rsidRDefault="00F6419F" w:rsidP="00D63804"/>
    <w:p w:rsidR="00F6419F" w:rsidRDefault="007B7BDB" w:rsidP="00F6419F">
      <w:r>
        <w:t xml:space="preserve">Masked data were provided for this study from the U. of C. Institutional Analysis unit. The data files consisted of </w:t>
      </w:r>
      <w:r w:rsidR="00F6419F">
        <w:t xml:space="preserve">demographic information for the students, </w:t>
      </w:r>
      <w:r>
        <w:t>high school marks in English 30 and Mathematics 30 (both diploma examination mark and school based mark)</w:t>
      </w:r>
      <w:r w:rsidR="00F6419F">
        <w:t>, and U. of C</w:t>
      </w:r>
      <w:r>
        <w:t>.</w:t>
      </w:r>
      <w:r w:rsidR="00F6419F">
        <w:t xml:space="preserve"> transcript information. </w:t>
      </w:r>
      <w:r w:rsidR="00CE0F97">
        <w:t>SPSS 15.0 for windows was used to provide a</w:t>
      </w:r>
      <w:r w:rsidR="00CE0F97" w:rsidRPr="009D1EE4">
        <w:t xml:space="preserve"> simple analysis of variation (ANOVA) and the Scheffe Test </w:t>
      </w:r>
      <w:r w:rsidR="00CE0F97">
        <w:rPr>
          <w:lang w:val="en-US"/>
        </w:rPr>
        <w:t>when comparing the different groups of students in order to find statistically significant differences.  At other times, given the exploratory nature of this analysis, the methods used were graphical summaries of the data at hand.</w:t>
      </w:r>
      <w:r w:rsidR="00F6419F">
        <w:t>We began to explore the data</w:t>
      </w:r>
      <w:r>
        <w:t xml:space="preserve"> </w:t>
      </w:r>
      <w:r w:rsidR="00F6419F">
        <w:t xml:space="preserve">base for broad questions related to academic achievement:  </w:t>
      </w:r>
    </w:p>
    <w:p w:rsidR="00F6419F" w:rsidRDefault="00F6419F" w:rsidP="00F6419F"/>
    <w:p w:rsidR="00F6419F" w:rsidRPr="00F6419F" w:rsidRDefault="00F6419F" w:rsidP="00F6419F">
      <w:pPr>
        <w:pStyle w:val="ListParagraph"/>
        <w:numPr>
          <w:ilvl w:val="0"/>
          <w:numId w:val="2"/>
        </w:numPr>
        <w:rPr>
          <w:lang w:val="en-US"/>
        </w:rPr>
      </w:pPr>
      <w:r w:rsidRPr="00F6419F">
        <w:rPr>
          <w:lang w:val="en-US"/>
        </w:rPr>
        <w:t>How do ELL students at the U of C compare to their NS counterparts on the grade 12 mathematics scores presented for admission?</w:t>
      </w:r>
    </w:p>
    <w:p w:rsidR="00F6419F" w:rsidRPr="009D1EE4" w:rsidRDefault="00F6419F" w:rsidP="00F6419F">
      <w:pPr>
        <w:rPr>
          <w:lang w:val="en-US"/>
        </w:rPr>
      </w:pPr>
    </w:p>
    <w:p w:rsidR="00F6419F" w:rsidRDefault="00F6419F" w:rsidP="00F6419F">
      <w:pPr>
        <w:pStyle w:val="ListParagraph"/>
        <w:numPr>
          <w:ilvl w:val="0"/>
          <w:numId w:val="2"/>
        </w:numPr>
      </w:pPr>
      <w:r w:rsidRPr="008161A8">
        <w:t xml:space="preserve">How do </w:t>
      </w:r>
      <w:r>
        <w:t>ELL</w:t>
      </w:r>
      <w:r w:rsidRPr="008161A8">
        <w:t xml:space="preserve"> </w:t>
      </w:r>
      <w:r>
        <w:t xml:space="preserve">students </w:t>
      </w:r>
      <w:r w:rsidRPr="008161A8">
        <w:t xml:space="preserve">at the </w:t>
      </w:r>
      <w:r>
        <w:t xml:space="preserve">U of C </w:t>
      </w:r>
      <w:r w:rsidRPr="008161A8">
        <w:t xml:space="preserve">compare to their </w:t>
      </w:r>
      <w:r>
        <w:t xml:space="preserve">NS </w:t>
      </w:r>
      <w:r w:rsidRPr="008161A8">
        <w:t xml:space="preserve">counterparts on the </w:t>
      </w:r>
      <w:r>
        <w:t xml:space="preserve">provincial grade 12 </w:t>
      </w:r>
      <w:r w:rsidRPr="008161A8">
        <w:t xml:space="preserve">English </w:t>
      </w:r>
      <w:r>
        <w:t>d</w:t>
      </w:r>
      <w:r w:rsidRPr="008161A8">
        <w:t xml:space="preserve">iploma </w:t>
      </w:r>
      <w:r>
        <w:t>e</w:t>
      </w:r>
      <w:r w:rsidRPr="008161A8">
        <w:t>xam</w:t>
      </w:r>
      <w:r>
        <w:t>ination</w:t>
      </w:r>
      <w:r w:rsidRPr="008161A8">
        <w:t>?</w:t>
      </w:r>
    </w:p>
    <w:p w:rsidR="00F6419F" w:rsidRPr="008161A8" w:rsidRDefault="00F6419F" w:rsidP="00F6419F"/>
    <w:p w:rsidR="00F6419F" w:rsidRDefault="00F6419F" w:rsidP="00F6419F">
      <w:pPr>
        <w:pStyle w:val="ListParagraph"/>
        <w:numPr>
          <w:ilvl w:val="0"/>
          <w:numId w:val="2"/>
        </w:numPr>
      </w:pPr>
      <w:r w:rsidRPr="008161A8">
        <w:t xml:space="preserve">How do </w:t>
      </w:r>
      <w:r>
        <w:t xml:space="preserve">graduation rates for </w:t>
      </w:r>
      <w:r w:rsidRPr="008161A8">
        <w:t xml:space="preserve">domestic </w:t>
      </w:r>
      <w:r>
        <w:t>ELL</w:t>
      </w:r>
      <w:r w:rsidRPr="008161A8">
        <w:t xml:space="preserve"> </w:t>
      </w:r>
      <w:r>
        <w:t xml:space="preserve">students and NS </w:t>
      </w:r>
      <w:r w:rsidRPr="008161A8">
        <w:t xml:space="preserve">at the </w:t>
      </w:r>
      <w:r>
        <w:t xml:space="preserve">U of C </w:t>
      </w:r>
      <w:r w:rsidRPr="008161A8">
        <w:t>compare</w:t>
      </w:r>
      <w:r>
        <w:t>?</w:t>
      </w:r>
      <w:r w:rsidRPr="008161A8">
        <w:t xml:space="preserve"> </w:t>
      </w:r>
    </w:p>
    <w:p w:rsidR="00F6419F" w:rsidRDefault="00F6419F" w:rsidP="00F6419F">
      <w:pPr>
        <w:pStyle w:val="ListParagraph"/>
      </w:pPr>
    </w:p>
    <w:p w:rsidR="00F6419F" w:rsidRDefault="00F6419F" w:rsidP="00F6419F">
      <w:r>
        <w:t xml:space="preserve">From each of the cohort groups (younger arriving ELL, older arriving ELL, NS) 15 students </w:t>
      </w:r>
      <w:r w:rsidR="00CE0F97">
        <w:t xml:space="preserve">who had successfully complete degree requirements </w:t>
      </w:r>
      <w:r>
        <w:t xml:space="preserve">were chosen at random for a more refined analysis of </w:t>
      </w:r>
      <w:r w:rsidR="00CE0F97">
        <w:t xml:space="preserve">their educational path. </w:t>
      </w:r>
    </w:p>
    <w:p w:rsidR="00F6419F" w:rsidRDefault="00F6419F" w:rsidP="00D63804"/>
    <w:p w:rsidR="00CE0F97" w:rsidRDefault="00490C16" w:rsidP="00D63804">
      <w:pPr>
        <w:rPr>
          <w:b/>
        </w:rPr>
      </w:pPr>
      <w:r w:rsidRPr="00490C16">
        <w:rPr>
          <w:b/>
        </w:rPr>
        <w:t>Key Findings:</w:t>
      </w:r>
    </w:p>
    <w:p w:rsidR="00BD0B97" w:rsidRDefault="00490C16" w:rsidP="00BD0B97">
      <w:r>
        <w:t>ELL learners, regardless of age on arrival, enter university with distinct challenges related to their developed</w:t>
      </w:r>
      <w:r w:rsidR="00BD0B97">
        <w:t xml:space="preserve"> level of </w:t>
      </w:r>
      <w:r>
        <w:t xml:space="preserve">English language proficiency.  This is manifest in </w:t>
      </w:r>
      <w:r w:rsidR="00BD0B97">
        <w:t xml:space="preserve">various ways, summarized on the </w:t>
      </w:r>
      <w:r w:rsidR="00050112">
        <w:t>T</w:t>
      </w:r>
      <w:r w:rsidR="00BD0B97">
        <w:t>able</w:t>
      </w:r>
      <w:r w:rsidR="00050112">
        <w:t xml:space="preserve"> 1</w:t>
      </w:r>
      <w:r w:rsidR="00BD0B97">
        <w:t xml:space="preserve"> below:</w:t>
      </w:r>
    </w:p>
    <w:p w:rsidR="00BD0B97" w:rsidRDefault="00BD0B97" w:rsidP="00BD0B97"/>
    <w:tbl>
      <w:tblPr>
        <w:tblStyle w:val="TableGrid"/>
        <w:tblW w:w="0" w:type="auto"/>
        <w:tblInd w:w="468" w:type="dxa"/>
        <w:tblLook w:val="04A0"/>
      </w:tblPr>
      <w:tblGrid>
        <w:gridCol w:w="3060"/>
        <w:gridCol w:w="1980"/>
        <w:gridCol w:w="2610"/>
        <w:gridCol w:w="1458"/>
      </w:tblGrid>
      <w:tr w:rsidR="00BD0B97" w:rsidTr="0082409D">
        <w:tc>
          <w:tcPr>
            <w:tcW w:w="3060" w:type="dxa"/>
          </w:tcPr>
          <w:p w:rsidR="00BD0B97" w:rsidRDefault="00BD0B97" w:rsidP="00BD0B97">
            <w:pPr>
              <w:rPr>
                <w:b/>
                <w:sz w:val="28"/>
                <w:szCs w:val="28"/>
              </w:rPr>
            </w:pPr>
          </w:p>
        </w:tc>
        <w:tc>
          <w:tcPr>
            <w:tcW w:w="1980" w:type="dxa"/>
          </w:tcPr>
          <w:p w:rsidR="00BD0B97" w:rsidRPr="00BD0B97" w:rsidRDefault="00BD0B97" w:rsidP="00BD0B97">
            <w:pPr>
              <w:rPr>
                <w:b/>
                <w:sz w:val="20"/>
                <w:szCs w:val="20"/>
              </w:rPr>
            </w:pPr>
            <w:r w:rsidRPr="00BD0B97">
              <w:rPr>
                <w:b/>
                <w:sz w:val="20"/>
                <w:szCs w:val="20"/>
              </w:rPr>
              <w:t>Younger arriving</w:t>
            </w:r>
            <w:r>
              <w:rPr>
                <w:b/>
                <w:sz w:val="20"/>
                <w:szCs w:val="20"/>
              </w:rPr>
              <w:t xml:space="preserve"> ELL</w:t>
            </w:r>
            <w:r w:rsidRPr="00BD0B97">
              <w:rPr>
                <w:b/>
                <w:sz w:val="20"/>
                <w:szCs w:val="20"/>
              </w:rPr>
              <w:t xml:space="preserve"> </w:t>
            </w:r>
          </w:p>
        </w:tc>
        <w:tc>
          <w:tcPr>
            <w:tcW w:w="2610" w:type="dxa"/>
          </w:tcPr>
          <w:p w:rsidR="00BD0B97" w:rsidRPr="00BD0B97" w:rsidRDefault="00BD0B97" w:rsidP="00BD0B97">
            <w:pPr>
              <w:rPr>
                <w:b/>
                <w:sz w:val="20"/>
                <w:szCs w:val="20"/>
              </w:rPr>
            </w:pPr>
            <w:r w:rsidRPr="00BD0B97">
              <w:rPr>
                <w:b/>
                <w:sz w:val="20"/>
                <w:szCs w:val="20"/>
              </w:rPr>
              <w:t>Older arriving ELL</w:t>
            </w:r>
          </w:p>
        </w:tc>
        <w:tc>
          <w:tcPr>
            <w:tcW w:w="1458" w:type="dxa"/>
          </w:tcPr>
          <w:p w:rsidR="00BD0B97" w:rsidRPr="00BD0B97" w:rsidRDefault="00BD0B97" w:rsidP="00BD0B97">
            <w:pPr>
              <w:rPr>
                <w:b/>
                <w:sz w:val="20"/>
                <w:szCs w:val="20"/>
              </w:rPr>
            </w:pPr>
            <w:r w:rsidRPr="00BD0B97">
              <w:rPr>
                <w:b/>
                <w:sz w:val="20"/>
                <w:szCs w:val="20"/>
              </w:rPr>
              <w:t>NS</w:t>
            </w:r>
          </w:p>
        </w:tc>
      </w:tr>
      <w:tr w:rsidR="00BD0B97" w:rsidTr="0082409D">
        <w:tc>
          <w:tcPr>
            <w:tcW w:w="3060" w:type="dxa"/>
          </w:tcPr>
          <w:p w:rsidR="00BD0B97" w:rsidRDefault="00BD0B97" w:rsidP="00A84F68">
            <w:pPr>
              <w:jc w:val="center"/>
              <w:rPr>
                <w:b/>
                <w:sz w:val="20"/>
                <w:szCs w:val="20"/>
              </w:rPr>
            </w:pPr>
            <w:r w:rsidRPr="00BD0B97">
              <w:rPr>
                <w:b/>
                <w:sz w:val="20"/>
                <w:szCs w:val="20"/>
              </w:rPr>
              <w:t>English 30:</w:t>
            </w:r>
          </w:p>
          <w:p w:rsidR="00A84F68" w:rsidRDefault="00A84F68" w:rsidP="00A84F68">
            <w:pPr>
              <w:jc w:val="center"/>
              <w:rPr>
                <w:b/>
                <w:sz w:val="20"/>
                <w:szCs w:val="20"/>
              </w:rPr>
            </w:pPr>
            <w:r>
              <w:rPr>
                <w:b/>
                <w:sz w:val="20"/>
                <w:szCs w:val="20"/>
              </w:rPr>
              <w:t>Diploma:</w:t>
            </w:r>
            <w:r w:rsidR="0082409D">
              <w:rPr>
                <w:b/>
                <w:sz w:val="20"/>
                <w:szCs w:val="20"/>
              </w:rPr>
              <w:t xml:space="preserve"> 50% of blended mark</w:t>
            </w:r>
          </w:p>
          <w:p w:rsidR="00CF5AA5" w:rsidRDefault="00CF5AA5" w:rsidP="00A84F68">
            <w:pPr>
              <w:jc w:val="center"/>
              <w:rPr>
                <w:b/>
                <w:sz w:val="20"/>
                <w:szCs w:val="20"/>
              </w:rPr>
            </w:pPr>
            <w:r>
              <w:rPr>
                <w:b/>
                <w:sz w:val="20"/>
                <w:szCs w:val="20"/>
              </w:rPr>
              <w:t>Class:</w:t>
            </w:r>
            <w:r w:rsidR="0082409D">
              <w:rPr>
                <w:b/>
                <w:sz w:val="20"/>
                <w:szCs w:val="20"/>
              </w:rPr>
              <w:t xml:space="preserve"> 50%</w:t>
            </w:r>
          </w:p>
          <w:p w:rsidR="00A84F68" w:rsidRDefault="00A84F68" w:rsidP="00A84F68">
            <w:pPr>
              <w:jc w:val="center"/>
              <w:rPr>
                <w:b/>
                <w:sz w:val="20"/>
                <w:szCs w:val="20"/>
              </w:rPr>
            </w:pPr>
            <w:r>
              <w:rPr>
                <w:b/>
                <w:sz w:val="20"/>
                <w:szCs w:val="20"/>
              </w:rPr>
              <w:t xml:space="preserve">% failed diploma: </w:t>
            </w:r>
          </w:p>
          <w:p w:rsidR="00A84F68" w:rsidRPr="00BD0B97" w:rsidRDefault="00A84F68" w:rsidP="00A84F68">
            <w:pPr>
              <w:jc w:val="center"/>
              <w:rPr>
                <w:b/>
                <w:sz w:val="20"/>
                <w:szCs w:val="20"/>
              </w:rPr>
            </w:pPr>
            <w:r>
              <w:rPr>
                <w:b/>
                <w:sz w:val="20"/>
                <w:szCs w:val="20"/>
              </w:rPr>
              <w:t>Blended:</w:t>
            </w:r>
          </w:p>
        </w:tc>
        <w:tc>
          <w:tcPr>
            <w:tcW w:w="1980" w:type="dxa"/>
          </w:tcPr>
          <w:p w:rsidR="00CF5AA5" w:rsidRDefault="00CF5AA5" w:rsidP="00A84F68">
            <w:pPr>
              <w:rPr>
                <w:b/>
                <w:sz w:val="20"/>
                <w:szCs w:val="20"/>
              </w:rPr>
            </w:pPr>
          </w:p>
          <w:p w:rsidR="00A84F68" w:rsidRPr="00CF5AA5" w:rsidRDefault="0082409D" w:rsidP="00A84F68">
            <w:pPr>
              <w:rPr>
                <w:b/>
                <w:sz w:val="20"/>
                <w:szCs w:val="20"/>
              </w:rPr>
            </w:pPr>
            <w:r>
              <w:rPr>
                <w:b/>
                <w:sz w:val="20"/>
                <w:szCs w:val="20"/>
              </w:rPr>
              <w:t>5</w:t>
            </w:r>
            <w:r w:rsidR="00CF5AA5" w:rsidRPr="00CF5AA5">
              <w:rPr>
                <w:b/>
                <w:sz w:val="20"/>
                <w:szCs w:val="20"/>
              </w:rPr>
              <w:t>8.</w:t>
            </w:r>
            <w:r>
              <w:rPr>
                <w:b/>
                <w:sz w:val="20"/>
                <w:szCs w:val="20"/>
              </w:rPr>
              <w:t>2</w:t>
            </w:r>
          </w:p>
          <w:p w:rsidR="00CF5AA5" w:rsidRPr="00CF5AA5" w:rsidRDefault="0082409D" w:rsidP="00A84F68">
            <w:pPr>
              <w:rPr>
                <w:b/>
                <w:sz w:val="20"/>
                <w:szCs w:val="20"/>
              </w:rPr>
            </w:pPr>
            <w:r>
              <w:rPr>
                <w:b/>
                <w:sz w:val="20"/>
                <w:szCs w:val="20"/>
              </w:rPr>
              <w:t>6</w:t>
            </w:r>
            <w:r w:rsidR="00CF5AA5" w:rsidRPr="00CF5AA5">
              <w:rPr>
                <w:b/>
                <w:sz w:val="20"/>
                <w:szCs w:val="20"/>
              </w:rPr>
              <w:t>8.</w:t>
            </w:r>
            <w:r>
              <w:rPr>
                <w:b/>
                <w:sz w:val="20"/>
                <w:szCs w:val="20"/>
              </w:rPr>
              <w:t>6</w:t>
            </w:r>
          </w:p>
          <w:p w:rsidR="00CF5AA5" w:rsidRPr="00CF5AA5" w:rsidRDefault="00CF5AA5" w:rsidP="00A84F68">
            <w:pPr>
              <w:rPr>
                <w:b/>
                <w:sz w:val="20"/>
                <w:szCs w:val="20"/>
              </w:rPr>
            </w:pPr>
            <w:r w:rsidRPr="00CF5AA5">
              <w:rPr>
                <w:b/>
                <w:sz w:val="20"/>
                <w:szCs w:val="20"/>
              </w:rPr>
              <w:t>22.2</w:t>
            </w:r>
          </w:p>
          <w:p w:rsidR="00CF5AA5" w:rsidRPr="00CF5AA5" w:rsidRDefault="00CF5AA5" w:rsidP="00A84F68">
            <w:pPr>
              <w:rPr>
                <w:b/>
                <w:sz w:val="20"/>
                <w:szCs w:val="20"/>
              </w:rPr>
            </w:pPr>
            <w:r w:rsidRPr="00CF5AA5">
              <w:rPr>
                <w:b/>
                <w:sz w:val="20"/>
                <w:szCs w:val="20"/>
              </w:rPr>
              <w:t>63.4</w:t>
            </w:r>
          </w:p>
          <w:p w:rsidR="00A84F68" w:rsidRDefault="00A84F68" w:rsidP="00A84F68">
            <w:pPr>
              <w:rPr>
                <w:b/>
                <w:sz w:val="28"/>
                <w:szCs w:val="28"/>
              </w:rPr>
            </w:pPr>
          </w:p>
        </w:tc>
        <w:tc>
          <w:tcPr>
            <w:tcW w:w="2610" w:type="dxa"/>
          </w:tcPr>
          <w:p w:rsidR="00CF5AA5" w:rsidRDefault="00CF5AA5" w:rsidP="00BD0B97">
            <w:pPr>
              <w:rPr>
                <w:b/>
                <w:sz w:val="20"/>
                <w:szCs w:val="20"/>
              </w:rPr>
            </w:pPr>
          </w:p>
          <w:p w:rsidR="00CF5AA5" w:rsidRPr="00CF5AA5" w:rsidRDefault="0082409D" w:rsidP="00BD0B97">
            <w:pPr>
              <w:rPr>
                <w:b/>
                <w:sz w:val="20"/>
                <w:szCs w:val="20"/>
              </w:rPr>
            </w:pPr>
            <w:r>
              <w:rPr>
                <w:b/>
                <w:sz w:val="20"/>
                <w:szCs w:val="20"/>
              </w:rPr>
              <w:t>54.2</w:t>
            </w:r>
          </w:p>
          <w:p w:rsidR="0082409D" w:rsidRDefault="0082409D" w:rsidP="00BD0B97">
            <w:pPr>
              <w:rPr>
                <w:b/>
                <w:sz w:val="20"/>
                <w:szCs w:val="20"/>
              </w:rPr>
            </w:pPr>
            <w:r>
              <w:rPr>
                <w:b/>
                <w:sz w:val="20"/>
                <w:szCs w:val="20"/>
              </w:rPr>
              <w:t>69.1</w:t>
            </w:r>
          </w:p>
          <w:p w:rsidR="00CF5AA5" w:rsidRPr="00CF5AA5" w:rsidRDefault="0082409D" w:rsidP="00BD0B97">
            <w:pPr>
              <w:rPr>
                <w:b/>
                <w:sz w:val="20"/>
                <w:szCs w:val="20"/>
              </w:rPr>
            </w:pPr>
            <w:r>
              <w:rPr>
                <w:b/>
                <w:sz w:val="20"/>
                <w:szCs w:val="20"/>
              </w:rPr>
              <w:t>36.</w:t>
            </w:r>
            <w:r w:rsidR="00CF5AA5" w:rsidRPr="00CF5AA5">
              <w:rPr>
                <w:b/>
                <w:sz w:val="20"/>
                <w:szCs w:val="20"/>
              </w:rPr>
              <w:t>5</w:t>
            </w:r>
          </w:p>
          <w:p w:rsidR="00CF5AA5" w:rsidRDefault="00CF5AA5" w:rsidP="00BD0B97">
            <w:pPr>
              <w:rPr>
                <w:b/>
                <w:sz w:val="28"/>
                <w:szCs w:val="28"/>
              </w:rPr>
            </w:pPr>
            <w:r w:rsidRPr="00CF5AA5">
              <w:rPr>
                <w:b/>
                <w:sz w:val="20"/>
                <w:szCs w:val="20"/>
              </w:rPr>
              <w:t>61.65</w:t>
            </w:r>
          </w:p>
        </w:tc>
        <w:tc>
          <w:tcPr>
            <w:tcW w:w="1458" w:type="dxa"/>
          </w:tcPr>
          <w:p w:rsidR="00CF5AA5" w:rsidRDefault="00CF5AA5" w:rsidP="00BD0B97">
            <w:pPr>
              <w:rPr>
                <w:b/>
                <w:sz w:val="20"/>
                <w:szCs w:val="20"/>
              </w:rPr>
            </w:pPr>
          </w:p>
          <w:p w:rsidR="00BD0B97" w:rsidRPr="00CF5AA5" w:rsidRDefault="00CF5AA5" w:rsidP="00BD0B97">
            <w:pPr>
              <w:rPr>
                <w:b/>
                <w:sz w:val="20"/>
                <w:szCs w:val="20"/>
              </w:rPr>
            </w:pPr>
            <w:r w:rsidRPr="00CF5AA5">
              <w:rPr>
                <w:b/>
                <w:sz w:val="20"/>
                <w:szCs w:val="20"/>
              </w:rPr>
              <w:t>7</w:t>
            </w:r>
            <w:r w:rsidR="0082409D">
              <w:rPr>
                <w:b/>
                <w:sz w:val="20"/>
                <w:szCs w:val="20"/>
              </w:rPr>
              <w:t>0</w:t>
            </w:r>
            <w:r w:rsidRPr="00CF5AA5">
              <w:rPr>
                <w:b/>
                <w:sz w:val="20"/>
                <w:szCs w:val="20"/>
              </w:rPr>
              <w:t>.</w:t>
            </w:r>
            <w:r w:rsidR="0082409D">
              <w:rPr>
                <w:b/>
                <w:sz w:val="20"/>
                <w:szCs w:val="20"/>
              </w:rPr>
              <w:t>7</w:t>
            </w:r>
          </w:p>
          <w:p w:rsidR="00CF5AA5" w:rsidRPr="00CF5AA5" w:rsidRDefault="00CF5AA5" w:rsidP="00BD0B97">
            <w:pPr>
              <w:rPr>
                <w:b/>
                <w:sz w:val="20"/>
                <w:szCs w:val="20"/>
              </w:rPr>
            </w:pPr>
            <w:r w:rsidRPr="00CF5AA5">
              <w:rPr>
                <w:b/>
                <w:sz w:val="20"/>
                <w:szCs w:val="20"/>
              </w:rPr>
              <w:t>7</w:t>
            </w:r>
            <w:r w:rsidR="0082409D">
              <w:rPr>
                <w:b/>
                <w:sz w:val="20"/>
                <w:szCs w:val="20"/>
              </w:rPr>
              <w:t>5</w:t>
            </w:r>
            <w:r w:rsidRPr="00CF5AA5">
              <w:rPr>
                <w:b/>
                <w:sz w:val="20"/>
                <w:szCs w:val="20"/>
              </w:rPr>
              <w:t>.</w:t>
            </w:r>
            <w:r w:rsidR="0082409D">
              <w:rPr>
                <w:b/>
                <w:sz w:val="20"/>
                <w:szCs w:val="20"/>
              </w:rPr>
              <w:t>1</w:t>
            </w:r>
          </w:p>
          <w:p w:rsidR="00CF5AA5" w:rsidRPr="00CF5AA5" w:rsidRDefault="00CF5AA5" w:rsidP="00BD0B97">
            <w:pPr>
              <w:rPr>
                <w:b/>
                <w:sz w:val="20"/>
                <w:szCs w:val="20"/>
              </w:rPr>
            </w:pPr>
            <w:r>
              <w:rPr>
                <w:b/>
                <w:sz w:val="20"/>
                <w:szCs w:val="20"/>
              </w:rPr>
              <w:t xml:space="preserve">  </w:t>
            </w:r>
            <w:r w:rsidRPr="00CF5AA5">
              <w:rPr>
                <w:b/>
                <w:sz w:val="20"/>
                <w:szCs w:val="20"/>
              </w:rPr>
              <w:t>2.5</w:t>
            </w:r>
          </w:p>
          <w:p w:rsidR="00CF5AA5" w:rsidRDefault="00CF5AA5" w:rsidP="00BD0B97">
            <w:pPr>
              <w:rPr>
                <w:b/>
                <w:sz w:val="28"/>
                <w:szCs w:val="28"/>
              </w:rPr>
            </w:pPr>
            <w:r w:rsidRPr="00CF5AA5">
              <w:rPr>
                <w:b/>
                <w:sz w:val="20"/>
                <w:szCs w:val="20"/>
              </w:rPr>
              <w:t>72.9</w:t>
            </w:r>
          </w:p>
        </w:tc>
      </w:tr>
      <w:tr w:rsidR="00BD0B97" w:rsidTr="0082409D">
        <w:tc>
          <w:tcPr>
            <w:tcW w:w="3060" w:type="dxa"/>
          </w:tcPr>
          <w:p w:rsidR="00A84F68" w:rsidRDefault="00BD0B97" w:rsidP="00BD0B97">
            <w:pPr>
              <w:rPr>
                <w:b/>
                <w:sz w:val="20"/>
                <w:szCs w:val="20"/>
              </w:rPr>
            </w:pPr>
            <w:r w:rsidRPr="00BD0B97">
              <w:rPr>
                <w:b/>
                <w:sz w:val="20"/>
                <w:szCs w:val="20"/>
              </w:rPr>
              <w:t>Mathematics 30:</w:t>
            </w:r>
          </w:p>
          <w:p w:rsidR="00A84F68" w:rsidRDefault="00A84F68" w:rsidP="00BD0B97">
            <w:pPr>
              <w:rPr>
                <w:b/>
                <w:sz w:val="20"/>
                <w:szCs w:val="20"/>
              </w:rPr>
            </w:pPr>
            <w:r>
              <w:rPr>
                <w:b/>
                <w:sz w:val="20"/>
                <w:szCs w:val="20"/>
              </w:rPr>
              <w:t xml:space="preserve">            Blended: </w:t>
            </w:r>
          </w:p>
          <w:p w:rsidR="00A84F68" w:rsidRPr="00BD0B97" w:rsidRDefault="00A84F68" w:rsidP="00BD0B97">
            <w:pPr>
              <w:rPr>
                <w:b/>
                <w:sz w:val="20"/>
                <w:szCs w:val="20"/>
              </w:rPr>
            </w:pPr>
          </w:p>
        </w:tc>
        <w:tc>
          <w:tcPr>
            <w:tcW w:w="1980" w:type="dxa"/>
          </w:tcPr>
          <w:p w:rsidR="00CF5AA5" w:rsidRDefault="00CF5AA5" w:rsidP="00BD0B97">
            <w:pPr>
              <w:rPr>
                <w:b/>
                <w:sz w:val="20"/>
                <w:szCs w:val="20"/>
              </w:rPr>
            </w:pPr>
          </w:p>
          <w:p w:rsidR="00BD0B97" w:rsidRPr="00CF5AA5" w:rsidRDefault="00CF5AA5" w:rsidP="00BD0B97">
            <w:pPr>
              <w:rPr>
                <w:b/>
                <w:sz w:val="20"/>
                <w:szCs w:val="20"/>
              </w:rPr>
            </w:pPr>
            <w:r w:rsidRPr="00CF5AA5">
              <w:rPr>
                <w:b/>
                <w:sz w:val="20"/>
                <w:szCs w:val="20"/>
              </w:rPr>
              <w:t>79</w:t>
            </w:r>
          </w:p>
        </w:tc>
        <w:tc>
          <w:tcPr>
            <w:tcW w:w="2610" w:type="dxa"/>
          </w:tcPr>
          <w:p w:rsidR="00CF5AA5" w:rsidRDefault="00CF5AA5" w:rsidP="00BD0B97">
            <w:pPr>
              <w:rPr>
                <w:b/>
                <w:sz w:val="20"/>
                <w:szCs w:val="20"/>
              </w:rPr>
            </w:pPr>
          </w:p>
          <w:p w:rsidR="00BD0B97" w:rsidRPr="00CF5AA5" w:rsidRDefault="00CF5AA5" w:rsidP="00BD0B97">
            <w:pPr>
              <w:rPr>
                <w:b/>
                <w:sz w:val="20"/>
                <w:szCs w:val="20"/>
              </w:rPr>
            </w:pPr>
            <w:r w:rsidRPr="00CF5AA5">
              <w:rPr>
                <w:b/>
                <w:sz w:val="20"/>
                <w:szCs w:val="20"/>
              </w:rPr>
              <w:t>83</w:t>
            </w:r>
          </w:p>
        </w:tc>
        <w:tc>
          <w:tcPr>
            <w:tcW w:w="1458" w:type="dxa"/>
          </w:tcPr>
          <w:p w:rsidR="00CF5AA5" w:rsidRDefault="00CF5AA5" w:rsidP="00BD0B97">
            <w:pPr>
              <w:rPr>
                <w:b/>
                <w:sz w:val="20"/>
                <w:szCs w:val="20"/>
              </w:rPr>
            </w:pPr>
          </w:p>
          <w:p w:rsidR="00BD0B97" w:rsidRPr="00CF5AA5" w:rsidRDefault="00CF5AA5" w:rsidP="00BD0B97">
            <w:pPr>
              <w:rPr>
                <w:b/>
                <w:sz w:val="20"/>
                <w:szCs w:val="20"/>
              </w:rPr>
            </w:pPr>
            <w:r w:rsidRPr="00CF5AA5">
              <w:rPr>
                <w:b/>
                <w:sz w:val="20"/>
                <w:szCs w:val="20"/>
              </w:rPr>
              <w:t>73.1</w:t>
            </w:r>
          </w:p>
        </w:tc>
      </w:tr>
    </w:tbl>
    <w:p w:rsidR="006F2804" w:rsidRDefault="00D63804" w:rsidP="00BD0B97">
      <w:pPr>
        <w:rPr>
          <w:b/>
          <w:sz w:val="28"/>
          <w:szCs w:val="28"/>
        </w:rPr>
      </w:pPr>
      <w:r w:rsidRPr="00D63804">
        <w:rPr>
          <w:b/>
          <w:sz w:val="28"/>
          <w:szCs w:val="28"/>
        </w:rPr>
        <w:t xml:space="preserve"> </w:t>
      </w:r>
    </w:p>
    <w:p w:rsidR="0082409D" w:rsidRDefault="00CF5AA5" w:rsidP="00BD0B97">
      <w:r w:rsidRPr="00CF5AA5">
        <w:t>These data re</w:t>
      </w:r>
      <w:r>
        <w:t>vealed a significant difference in the Math scores between ELL and NS, with ELL demonstrating a distinct strength in mathematics. For NS, there was no significan</w:t>
      </w:r>
      <w:r w:rsidR="0082409D">
        <w:t>t difference</w:t>
      </w:r>
      <w:r>
        <w:t xml:space="preserve"> between their overall math score (73.1) and their English score (72.9)</w:t>
      </w:r>
      <w:r w:rsidR="0082409D">
        <w:t>, and further, no significant difference between their English diploma exam score (70.7) and the overall course mark (72.9)</w:t>
      </w:r>
      <w:r>
        <w:t xml:space="preserve">. This is not the case for either cohort group of ELL, where diploma marks lag significantly behind </w:t>
      </w:r>
      <w:r w:rsidR="0082409D">
        <w:t>the class mark.  Note the high failure rate on the English examination for ELL</w:t>
      </w:r>
      <w:r w:rsidR="003B2E2A">
        <w:t>, especially the older arrivals</w:t>
      </w:r>
      <w:r w:rsidR="0082409D">
        <w:t xml:space="preserve">. </w:t>
      </w:r>
    </w:p>
    <w:p w:rsidR="0082409D" w:rsidRDefault="0082409D" w:rsidP="00BD0B97"/>
    <w:p w:rsidR="00CF5AA5" w:rsidRDefault="0082409D" w:rsidP="00BD0B97">
      <w:r>
        <w:t xml:space="preserve"> </w:t>
      </w:r>
      <w:r w:rsidR="00050112">
        <w:t>For the sample</w:t>
      </w:r>
      <w:r w:rsidR="00652CC1">
        <w:t xml:space="preserve"> (N=45)</w:t>
      </w:r>
      <w:r w:rsidR="00050112">
        <w:t xml:space="preserve"> </w:t>
      </w:r>
      <w:r w:rsidR="00652CC1">
        <w:t xml:space="preserve">of ELL and NS </w:t>
      </w:r>
      <w:r w:rsidR="00050112">
        <w:t xml:space="preserve">who fulfilled graduation requirements we noted:  </w:t>
      </w:r>
      <w:r w:rsidR="00CF5AA5">
        <w:t xml:space="preserve"> </w:t>
      </w:r>
    </w:p>
    <w:p w:rsidR="00050112" w:rsidRDefault="00050112" w:rsidP="00BD0B97"/>
    <w:tbl>
      <w:tblPr>
        <w:tblStyle w:val="TableGrid"/>
        <w:tblW w:w="0" w:type="auto"/>
        <w:tblLook w:val="04A0"/>
      </w:tblPr>
      <w:tblGrid>
        <w:gridCol w:w="2394"/>
        <w:gridCol w:w="2394"/>
        <w:gridCol w:w="2394"/>
        <w:gridCol w:w="2394"/>
      </w:tblGrid>
      <w:tr w:rsidR="00050112" w:rsidRPr="00EB186D" w:rsidTr="00050112">
        <w:tc>
          <w:tcPr>
            <w:tcW w:w="2394" w:type="dxa"/>
          </w:tcPr>
          <w:p w:rsidR="00050112" w:rsidRPr="00EB186D" w:rsidRDefault="00050112" w:rsidP="00BD0B97">
            <w:pPr>
              <w:rPr>
                <w:b/>
                <w:sz w:val="20"/>
                <w:szCs w:val="20"/>
              </w:rPr>
            </w:pPr>
          </w:p>
        </w:tc>
        <w:tc>
          <w:tcPr>
            <w:tcW w:w="2394" w:type="dxa"/>
          </w:tcPr>
          <w:p w:rsidR="00050112" w:rsidRPr="00EB186D" w:rsidRDefault="00050112" w:rsidP="00BD0B97">
            <w:pPr>
              <w:rPr>
                <w:b/>
                <w:sz w:val="20"/>
                <w:szCs w:val="20"/>
              </w:rPr>
            </w:pPr>
            <w:r w:rsidRPr="00EB186D">
              <w:rPr>
                <w:b/>
                <w:sz w:val="20"/>
                <w:szCs w:val="20"/>
              </w:rPr>
              <w:t>Younger arriving</w:t>
            </w:r>
          </w:p>
        </w:tc>
        <w:tc>
          <w:tcPr>
            <w:tcW w:w="2394" w:type="dxa"/>
          </w:tcPr>
          <w:p w:rsidR="00050112" w:rsidRPr="00EB186D" w:rsidRDefault="00050112" w:rsidP="00BD0B97">
            <w:pPr>
              <w:rPr>
                <w:b/>
                <w:sz w:val="20"/>
                <w:szCs w:val="20"/>
              </w:rPr>
            </w:pPr>
            <w:r w:rsidRPr="00EB186D">
              <w:rPr>
                <w:b/>
                <w:sz w:val="20"/>
                <w:szCs w:val="20"/>
              </w:rPr>
              <w:t>Older arriving</w:t>
            </w:r>
          </w:p>
        </w:tc>
        <w:tc>
          <w:tcPr>
            <w:tcW w:w="2394" w:type="dxa"/>
          </w:tcPr>
          <w:p w:rsidR="00050112" w:rsidRPr="00EB186D" w:rsidRDefault="00050112" w:rsidP="00BD0B97">
            <w:pPr>
              <w:rPr>
                <w:b/>
                <w:sz w:val="20"/>
                <w:szCs w:val="20"/>
              </w:rPr>
            </w:pPr>
            <w:r w:rsidRPr="00EB186D">
              <w:rPr>
                <w:b/>
                <w:sz w:val="20"/>
                <w:szCs w:val="20"/>
              </w:rPr>
              <w:t>NS</w:t>
            </w:r>
          </w:p>
        </w:tc>
      </w:tr>
      <w:tr w:rsidR="00050112" w:rsidRPr="00EB186D" w:rsidTr="00050112">
        <w:tc>
          <w:tcPr>
            <w:tcW w:w="2394" w:type="dxa"/>
          </w:tcPr>
          <w:p w:rsidR="00050112" w:rsidRPr="00EB186D" w:rsidRDefault="00652CC1" w:rsidP="00BD0B97">
            <w:pPr>
              <w:rPr>
                <w:b/>
                <w:sz w:val="20"/>
                <w:szCs w:val="20"/>
              </w:rPr>
            </w:pPr>
            <w:r w:rsidRPr="00EB186D">
              <w:rPr>
                <w:b/>
                <w:sz w:val="20"/>
                <w:szCs w:val="20"/>
              </w:rPr>
              <w:t>G</w:t>
            </w:r>
            <w:r w:rsidR="00050112" w:rsidRPr="00EB186D">
              <w:rPr>
                <w:b/>
                <w:sz w:val="20"/>
                <w:szCs w:val="20"/>
              </w:rPr>
              <w:t>raduation</w:t>
            </w:r>
            <w:r w:rsidRPr="00EB186D">
              <w:rPr>
                <w:b/>
                <w:sz w:val="20"/>
                <w:szCs w:val="20"/>
              </w:rPr>
              <w:t xml:space="preserve"> rate</w:t>
            </w:r>
            <w:r w:rsidR="00050112" w:rsidRPr="00EB186D">
              <w:rPr>
                <w:b/>
                <w:sz w:val="20"/>
                <w:szCs w:val="20"/>
              </w:rPr>
              <w:t>:</w:t>
            </w:r>
          </w:p>
          <w:p w:rsidR="00050112" w:rsidRPr="00EB186D" w:rsidRDefault="00050112" w:rsidP="00BD0B97">
            <w:pPr>
              <w:rPr>
                <w:b/>
                <w:sz w:val="20"/>
                <w:szCs w:val="20"/>
              </w:rPr>
            </w:pPr>
          </w:p>
        </w:tc>
        <w:tc>
          <w:tcPr>
            <w:tcW w:w="2394" w:type="dxa"/>
          </w:tcPr>
          <w:p w:rsidR="00050112" w:rsidRPr="00EB186D" w:rsidRDefault="00652CC1" w:rsidP="00BD0B97">
            <w:pPr>
              <w:rPr>
                <w:b/>
                <w:sz w:val="20"/>
                <w:szCs w:val="20"/>
              </w:rPr>
            </w:pPr>
            <w:r w:rsidRPr="00EB186D">
              <w:rPr>
                <w:b/>
                <w:sz w:val="20"/>
                <w:szCs w:val="20"/>
              </w:rPr>
              <w:t>70%</w:t>
            </w:r>
          </w:p>
        </w:tc>
        <w:tc>
          <w:tcPr>
            <w:tcW w:w="2394" w:type="dxa"/>
          </w:tcPr>
          <w:p w:rsidR="00050112" w:rsidRPr="00EB186D" w:rsidRDefault="00652CC1" w:rsidP="00BD0B97">
            <w:pPr>
              <w:rPr>
                <w:b/>
                <w:sz w:val="20"/>
                <w:szCs w:val="20"/>
              </w:rPr>
            </w:pPr>
            <w:r w:rsidRPr="00EB186D">
              <w:rPr>
                <w:b/>
                <w:sz w:val="20"/>
                <w:szCs w:val="20"/>
              </w:rPr>
              <w:t>80%</w:t>
            </w:r>
          </w:p>
        </w:tc>
        <w:tc>
          <w:tcPr>
            <w:tcW w:w="2394" w:type="dxa"/>
          </w:tcPr>
          <w:p w:rsidR="00050112" w:rsidRPr="00EB186D" w:rsidRDefault="00652CC1" w:rsidP="00BD0B97">
            <w:pPr>
              <w:rPr>
                <w:b/>
                <w:sz w:val="20"/>
                <w:szCs w:val="20"/>
              </w:rPr>
            </w:pPr>
            <w:r w:rsidRPr="00EB186D">
              <w:rPr>
                <w:b/>
                <w:sz w:val="20"/>
                <w:szCs w:val="20"/>
              </w:rPr>
              <w:t>72%</w:t>
            </w:r>
          </w:p>
          <w:p w:rsidR="00652CC1" w:rsidRPr="00EB186D" w:rsidRDefault="00652CC1" w:rsidP="00BD0B97">
            <w:pPr>
              <w:rPr>
                <w:b/>
                <w:sz w:val="20"/>
                <w:szCs w:val="20"/>
              </w:rPr>
            </w:pPr>
            <w:r w:rsidRPr="00EB186D">
              <w:rPr>
                <w:b/>
                <w:sz w:val="20"/>
                <w:szCs w:val="20"/>
              </w:rPr>
              <w:t>65% (gen. pop.)</w:t>
            </w:r>
          </w:p>
          <w:p w:rsidR="00652CC1" w:rsidRPr="00EB186D" w:rsidRDefault="00652CC1" w:rsidP="00BD0B97">
            <w:pPr>
              <w:rPr>
                <w:b/>
                <w:sz w:val="20"/>
                <w:szCs w:val="20"/>
              </w:rPr>
            </w:pPr>
            <w:r w:rsidRPr="00EB186D">
              <w:rPr>
                <w:b/>
                <w:sz w:val="20"/>
                <w:szCs w:val="20"/>
              </w:rPr>
              <w:t>61% (gen. pop.-ELL)</w:t>
            </w:r>
          </w:p>
        </w:tc>
      </w:tr>
      <w:tr w:rsidR="00050112" w:rsidRPr="00EB186D" w:rsidTr="00050112">
        <w:tc>
          <w:tcPr>
            <w:tcW w:w="2394" w:type="dxa"/>
          </w:tcPr>
          <w:p w:rsidR="00050112" w:rsidRPr="00EB186D" w:rsidRDefault="00652CC1" w:rsidP="00652CC1">
            <w:pPr>
              <w:rPr>
                <w:b/>
                <w:sz w:val="20"/>
                <w:szCs w:val="20"/>
              </w:rPr>
            </w:pPr>
            <w:r w:rsidRPr="00EB186D">
              <w:rPr>
                <w:b/>
                <w:sz w:val="20"/>
                <w:szCs w:val="20"/>
              </w:rPr>
              <w:t>Cum. GPA:</w:t>
            </w:r>
          </w:p>
          <w:p w:rsidR="00652CC1" w:rsidRPr="00EB186D" w:rsidRDefault="00652CC1" w:rsidP="00652CC1">
            <w:pPr>
              <w:rPr>
                <w:b/>
                <w:sz w:val="20"/>
                <w:szCs w:val="20"/>
              </w:rPr>
            </w:pPr>
            <w:r w:rsidRPr="00EB186D">
              <w:rPr>
                <w:b/>
                <w:sz w:val="20"/>
                <w:szCs w:val="20"/>
              </w:rPr>
              <w:t xml:space="preserve">  % above 3.0</w:t>
            </w:r>
          </w:p>
        </w:tc>
        <w:tc>
          <w:tcPr>
            <w:tcW w:w="2394" w:type="dxa"/>
          </w:tcPr>
          <w:p w:rsidR="00050112" w:rsidRPr="00EB186D" w:rsidRDefault="00652CC1" w:rsidP="00BD0B97">
            <w:pPr>
              <w:rPr>
                <w:b/>
                <w:sz w:val="20"/>
                <w:szCs w:val="20"/>
              </w:rPr>
            </w:pPr>
            <w:r w:rsidRPr="00EB186D">
              <w:rPr>
                <w:b/>
                <w:sz w:val="20"/>
                <w:szCs w:val="20"/>
              </w:rPr>
              <w:t xml:space="preserve">  2.67</w:t>
            </w:r>
          </w:p>
          <w:p w:rsidR="00652CC1" w:rsidRPr="00EB186D" w:rsidRDefault="00652CC1" w:rsidP="00BD0B97">
            <w:pPr>
              <w:rPr>
                <w:b/>
                <w:sz w:val="20"/>
                <w:szCs w:val="20"/>
              </w:rPr>
            </w:pPr>
            <w:r w:rsidRPr="00EB186D">
              <w:rPr>
                <w:b/>
                <w:sz w:val="20"/>
                <w:szCs w:val="20"/>
              </w:rPr>
              <w:t>13</w:t>
            </w:r>
          </w:p>
        </w:tc>
        <w:tc>
          <w:tcPr>
            <w:tcW w:w="2394" w:type="dxa"/>
          </w:tcPr>
          <w:p w:rsidR="00050112" w:rsidRPr="00EB186D" w:rsidRDefault="00EB186D" w:rsidP="00BD0B97">
            <w:pPr>
              <w:rPr>
                <w:b/>
                <w:sz w:val="20"/>
                <w:szCs w:val="20"/>
              </w:rPr>
            </w:pPr>
            <w:r>
              <w:rPr>
                <w:b/>
                <w:sz w:val="20"/>
                <w:szCs w:val="20"/>
              </w:rPr>
              <w:t xml:space="preserve"> </w:t>
            </w:r>
            <w:r w:rsidR="00652CC1" w:rsidRPr="00EB186D">
              <w:rPr>
                <w:b/>
                <w:sz w:val="20"/>
                <w:szCs w:val="20"/>
              </w:rPr>
              <w:t>2.47</w:t>
            </w:r>
          </w:p>
          <w:p w:rsidR="00652CC1" w:rsidRPr="00EB186D" w:rsidRDefault="00652CC1" w:rsidP="00BD0B97">
            <w:pPr>
              <w:rPr>
                <w:b/>
                <w:sz w:val="20"/>
                <w:szCs w:val="20"/>
              </w:rPr>
            </w:pPr>
            <w:r w:rsidRPr="00EB186D">
              <w:rPr>
                <w:b/>
                <w:sz w:val="20"/>
                <w:szCs w:val="20"/>
              </w:rPr>
              <w:t xml:space="preserve"> 0</w:t>
            </w:r>
          </w:p>
        </w:tc>
        <w:tc>
          <w:tcPr>
            <w:tcW w:w="2394" w:type="dxa"/>
          </w:tcPr>
          <w:p w:rsidR="00050112" w:rsidRPr="00EB186D" w:rsidRDefault="00EB186D" w:rsidP="00BD0B97">
            <w:pPr>
              <w:rPr>
                <w:b/>
                <w:sz w:val="20"/>
                <w:szCs w:val="20"/>
              </w:rPr>
            </w:pPr>
            <w:r>
              <w:rPr>
                <w:b/>
                <w:sz w:val="20"/>
                <w:szCs w:val="20"/>
              </w:rPr>
              <w:t xml:space="preserve"> </w:t>
            </w:r>
            <w:r w:rsidR="00652CC1" w:rsidRPr="00EB186D">
              <w:rPr>
                <w:b/>
                <w:sz w:val="20"/>
                <w:szCs w:val="20"/>
              </w:rPr>
              <w:t>2.88</w:t>
            </w:r>
          </w:p>
          <w:p w:rsidR="00652CC1" w:rsidRPr="00EB186D" w:rsidRDefault="00652CC1" w:rsidP="00BD0B97">
            <w:pPr>
              <w:rPr>
                <w:b/>
                <w:sz w:val="20"/>
                <w:szCs w:val="20"/>
              </w:rPr>
            </w:pPr>
            <w:r w:rsidRPr="00EB186D">
              <w:rPr>
                <w:b/>
                <w:sz w:val="20"/>
                <w:szCs w:val="20"/>
              </w:rPr>
              <w:t>33</w:t>
            </w:r>
          </w:p>
        </w:tc>
      </w:tr>
      <w:tr w:rsidR="00050112" w:rsidRPr="00EB186D" w:rsidTr="00050112">
        <w:tc>
          <w:tcPr>
            <w:tcW w:w="2394" w:type="dxa"/>
          </w:tcPr>
          <w:p w:rsidR="00050112" w:rsidRPr="00EB186D" w:rsidRDefault="00652CC1" w:rsidP="00652CC1">
            <w:pPr>
              <w:rPr>
                <w:b/>
                <w:sz w:val="20"/>
                <w:szCs w:val="20"/>
              </w:rPr>
            </w:pPr>
            <w:r w:rsidRPr="00EB186D">
              <w:rPr>
                <w:b/>
                <w:sz w:val="20"/>
                <w:szCs w:val="20"/>
              </w:rPr>
              <w:t>Credits fail/W</w:t>
            </w:r>
          </w:p>
        </w:tc>
        <w:tc>
          <w:tcPr>
            <w:tcW w:w="2394" w:type="dxa"/>
          </w:tcPr>
          <w:p w:rsidR="00050112" w:rsidRPr="00EB186D" w:rsidRDefault="00652CC1" w:rsidP="00BD0B97">
            <w:pPr>
              <w:rPr>
                <w:b/>
                <w:sz w:val="20"/>
                <w:szCs w:val="20"/>
              </w:rPr>
            </w:pPr>
            <w:r w:rsidRPr="00EB186D">
              <w:rPr>
                <w:b/>
                <w:sz w:val="20"/>
                <w:szCs w:val="20"/>
              </w:rPr>
              <w:t xml:space="preserve">  9</w:t>
            </w:r>
          </w:p>
        </w:tc>
        <w:tc>
          <w:tcPr>
            <w:tcW w:w="2394" w:type="dxa"/>
          </w:tcPr>
          <w:p w:rsidR="00050112" w:rsidRPr="00EB186D" w:rsidRDefault="00652CC1" w:rsidP="00BD0B97">
            <w:pPr>
              <w:rPr>
                <w:b/>
                <w:sz w:val="20"/>
                <w:szCs w:val="20"/>
              </w:rPr>
            </w:pPr>
            <w:r w:rsidRPr="00EB186D">
              <w:rPr>
                <w:b/>
                <w:sz w:val="20"/>
                <w:szCs w:val="20"/>
              </w:rPr>
              <w:t>11</w:t>
            </w:r>
          </w:p>
        </w:tc>
        <w:tc>
          <w:tcPr>
            <w:tcW w:w="2394" w:type="dxa"/>
          </w:tcPr>
          <w:p w:rsidR="00050112" w:rsidRPr="00EB186D" w:rsidRDefault="00652CC1" w:rsidP="00BD0B97">
            <w:pPr>
              <w:rPr>
                <w:b/>
                <w:sz w:val="20"/>
                <w:szCs w:val="20"/>
              </w:rPr>
            </w:pPr>
            <w:r w:rsidRPr="00EB186D">
              <w:rPr>
                <w:b/>
                <w:sz w:val="20"/>
                <w:szCs w:val="20"/>
              </w:rPr>
              <w:t xml:space="preserve">  4</w:t>
            </w:r>
          </w:p>
        </w:tc>
      </w:tr>
      <w:tr w:rsidR="00050112" w:rsidRPr="00EB186D" w:rsidTr="00050112">
        <w:tc>
          <w:tcPr>
            <w:tcW w:w="2394" w:type="dxa"/>
          </w:tcPr>
          <w:p w:rsidR="00050112" w:rsidRPr="00EB186D" w:rsidRDefault="00652CC1" w:rsidP="00652CC1">
            <w:pPr>
              <w:rPr>
                <w:b/>
                <w:sz w:val="20"/>
                <w:szCs w:val="20"/>
              </w:rPr>
            </w:pPr>
            <w:r w:rsidRPr="00EB186D">
              <w:rPr>
                <w:b/>
                <w:sz w:val="20"/>
                <w:szCs w:val="20"/>
              </w:rPr>
              <w:t>Semesters taken:</w:t>
            </w:r>
          </w:p>
        </w:tc>
        <w:tc>
          <w:tcPr>
            <w:tcW w:w="2394" w:type="dxa"/>
          </w:tcPr>
          <w:p w:rsidR="00050112" w:rsidRPr="00EB186D" w:rsidRDefault="00652CC1" w:rsidP="00652CC1">
            <w:pPr>
              <w:rPr>
                <w:b/>
                <w:sz w:val="20"/>
                <w:szCs w:val="20"/>
              </w:rPr>
            </w:pPr>
            <w:r w:rsidRPr="00EB186D">
              <w:rPr>
                <w:b/>
                <w:sz w:val="20"/>
                <w:szCs w:val="20"/>
              </w:rPr>
              <w:t xml:space="preserve">14 </w:t>
            </w:r>
          </w:p>
        </w:tc>
        <w:tc>
          <w:tcPr>
            <w:tcW w:w="2394" w:type="dxa"/>
          </w:tcPr>
          <w:p w:rsidR="00050112" w:rsidRPr="00EB186D" w:rsidRDefault="00652CC1" w:rsidP="00BD0B97">
            <w:pPr>
              <w:rPr>
                <w:b/>
                <w:sz w:val="20"/>
                <w:szCs w:val="20"/>
              </w:rPr>
            </w:pPr>
            <w:r w:rsidRPr="00EB186D">
              <w:rPr>
                <w:b/>
                <w:sz w:val="20"/>
                <w:szCs w:val="20"/>
              </w:rPr>
              <w:t>13</w:t>
            </w:r>
          </w:p>
        </w:tc>
        <w:tc>
          <w:tcPr>
            <w:tcW w:w="2394" w:type="dxa"/>
          </w:tcPr>
          <w:p w:rsidR="00050112" w:rsidRPr="00EB186D" w:rsidRDefault="00652CC1" w:rsidP="00BD0B97">
            <w:pPr>
              <w:rPr>
                <w:b/>
                <w:sz w:val="20"/>
                <w:szCs w:val="20"/>
              </w:rPr>
            </w:pPr>
            <w:r w:rsidRPr="00EB186D">
              <w:rPr>
                <w:b/>
                <w:sz w:val="20"/>
                <w:szCs w:val="20"/>
              </w:rPr>
              <w:t>12</w:t>
            </w:r>
          </w:p>
        </w:tc>
      </w:tr>
      <w:tr w:rsidR="00652CC1" w:rsidRPr="00EB186D" w:rsidTr="00050112">
        <w:tc>
          <w:tcPr>
            <w:tcW w:w="2394" w:type="dxa"/>
          </w:tcPr>
          <w:p w:rsidR="00652CC1" w:rsidRPr="00EB186D" w:rsidRDefault="00652CC1" w:rsidP="00652CC1">
            <w:pPr>
              <w:rPr>
                <w:b/>
                <w:sz w:val="20"/>
                <w:szCs w:val="20"/>
              </w:rPr>
            </w:pPr>
            <w:r w:rsidRPr="00EB186D">
              <w:rPr>
                <w:b/>
                <w:sz w:val="20"/>
                <w:szCs w:val="20"/>
              </w:rPr>
              <w:t>Academic probation:</w:t>
            </w:r>
          </w:p>
        </w:tc>
        <w:tc>
          <w:tcPr>
            <w:tcW w:w="2394" w:type="dxa"/>
          </w:tcPr>
          <w:p w:rsidR="00652CC1" w:rsidRPr="00EB186D" w:rsidRDefault="00652CC1" w:rsidP="00BD0B97">
            <w:pPr>
              <w:rPr>
                <w:b/>
                <w:sz w:val="20"/>
                <w:szCs w:val="20"/>
              </w:rPr>
            </w:pPr>
            <w:r w:rsidRPr="00EB186D">
              <w:rPr>
                <w:b/>
                <w:sz w:val="20"/>
                <w:szCs w:val="20"/>
              </w:rPr>
              <w:t>53</w:t>
            </w:r>
          </w:p>
        </w:tc>
        <w:tc>
          <w:tcPr>
            <w:tcW w:w="2394" w:type="dxa"/>
          </w:tcPr>
          <w:p w:rsidR="00652CC1" w:rsidRPr="00EB186D" w:rsidRDefault="00652CC1" w:rsidP="00BD0B97">
            <w:pPr>
              <w:rPr>
                <w:b/>
                <w:sz w:val="20"/>
                <w:szCs w:val="20"/>
              </w:rPr>
            </w:pPr>
            <w:r w:rsidRPr="00EB186D">
              <w:rPr>
                <w:b/>
                <w:sz w:val="20"/>
                <w:szCs w:val="20"/>
              </w:rPr>
              <w:t>33</w:t>
            </w:r>
          </w:p>
        </w:tc>
        <w:tc>
          <w:tcPr>
            <w:tcW w:w="2394" w:type="dxa"/>
          </w:tcPr>
          <w:p w:rsidR="00652CC1" w:rsidRPr="00EB186D" w:rsidRDefault="00652CC1" w:rsidP="00BD0B97">
            <w:pPr>
              <w:rPr>
                <w:b/>
                <w:sz w:val="20"/>
                <w:szCs w:val="20"/>
              </w:rPr>
            </w:pPr>
            <w:r w:rsidRPr="00EB186D">
              <w:rPr>
                <w:b/>
                <w:sz w:val="20"/>
                <w:szCs w:val="20"/>
              </w:rPr>
              <w:t xml:space="preserve">  7</w:t>
            </w:r>
          </w:p>
        </w:tc>
      </w:tr>
    </w:tbl>
    <w:p w:rsidR="00050112" w:rsidRPr="00EB186D" w:rsidRDefault="00050112" w:rsidP="00BD0B97">
      <w:pPr>
        <w:rPr>
          <w:b/>
          <w:sz w:val="20"/>
          <w:szCs w:val="20"/>
        </w:rPr>
      </w:pPr>
    </w:p>
    <w:p w:rsidR="00050112" w:rsidRDefault="00652CC1" w:rsidP="00BD0B97">
      <w:r>
        <w:t xml:space="preserve">These data suggest the following: older arrivals, despite their lower entrance marks to university, graduate in higher numbers. However, they do so with a GPA of just 2.47 and none in our </w:t>
      </w:r>
      <w:r>
        <w:lastRenderedPageBreak/>
        <w:t xml:space="preserve">sample achieved the threshold (3.0) for entrance to graduate school. They fail or withdraw (W) from 11 credit units, wasting valuable seat-space and tuition fees. </w:t>
      </w:r>
      <w:r w:rsidR="00152970">
        <w:t>Younger arrivals also graduate in impressive numbers, but again with lower GPA than their NS counterparts, and disproportionately few who qualify for graduate school. All cohorts of students take as long as 5 – 6 years to graduate from their undergraduate programs, however we noted that ELL attend summer school more often (4 terms each for younger and older ELL, compared to only 2 for NS),  perhaps to accelerate their program or at least, to complete on time.</w:t>
      </w:r>
    </w:p>
    <w:p w:rsidR="00152970" w:rsidRDefault="00152970" w:rsidP="00BD0B97"/>
    <w:p w:rsidR="00152970" w:rsidRDefault="00152970" w:rsidP="00BD0B97">
      <w:r>
        <w:t>These findings lead us to conclude that ELL of all AOA are at risk at university for reasons related to their English language proficiency</w:t>
      </w:r>
      <w:r w:rsidR="00EB186D">
        <w:t xml:space="preserve"> as seen in their marginal marks on the English diploma examination and the large proportion of ELL who fail the exam. Collapsing GPA over time, with few achieving the minimal requirement for graduate school means that Canada loses the intellectual capital these students have to offer. Disturbingly large numbers are on academic probation at one time or another during their programs at U. of C. </w:t>
      </w:r>
      <w:r>
        <w:t xml:space="preserve">Their mathematics marks suggest they are academically competent, and indeed, that we are attracting very good ELL students to university. They are smart, resilient, tenacious, hard working and determined to graduate, and for the most part, they do – in greater numbers than the general population at U. of C. ELL are not contributing to the U. of C.’s overall low graduation rate of only 61%.   </w:t>
      </w:r>
    </w:p>
    <w:p w:rsidR="00152970" w:rsidRDefault="00152970" w:rsidP="00BD0B97"/>
    <w:p w:rsidR="00152970" w:rsidRDefault="00EB186D" w:rsidP="00BD0B97">
      <w:pPr>
        <w:rPr>
          <w:b/>
        </w:rPr>
      </w:pPr>
      <w:r w:rsidRPr="00EB186D">
        <w:rPr>
          <w:b/>
        </w:rPr>
        <w:t>Policy implications:</w:t>
      </w:r>
    </w:p>
    <w:p w:rsidR="00EB186D" w:rsidRDefault="00EB186D" w:rsidP="00BD0B97">
      <w:r w:rsidRPr="00EB186D">
        <w:t xml:space="preserve">We </w:t>
      </w:r>
      <w:r>
        <w:t xml:space="preserve"> note policy implications in 4 broad areas:</w:t>
      </w:r>
    </w:p>
    <w:p w:rsidR="00165664" w:rsidRDefault="00EB186D" w:rsidP="00EB186D">
      <w:pPr>
        <w:ind w:left="720"/>
      </w:pPr>
      <w:r w:rsidRPr="00165664">
        <w:rPr>
          <w:b/>
        </w:rPr>
        <w:t>Admission</w:t>
      </w:r>
      <w:r w:rsidR="00165664" w:rsidRPr="00165664">
        <w:rPr>
          <w:b/>
        </w:rPr>
        <w:t>s:</w:t>
      </w:r>
      <w:r w:rsidR="00165664">
        <w:t xml:space="preserve"> </w:t>
      </w:r>
      <w:r>
        <w:t xml:space="preserve"> Consider </w:t>
      </w:r>
      <w:r w:rsidR="00165664">
        <w:t>making a</w:t>
      </w:r>
      <w:r>
        <w:t xml:space="preserve"> </w:t>
      </w:r>
      <w:r w:rsidRPr="00165664">
        <w:rPr>
          <w:b/>
        </w:rPr>
        <w:t>PASS</w:t>
      </w:r>
      <w:r>
        <w:t xml:space="preserve"> mark on the English diploma examination </w:t>
      </w:r>
      <w:r w:rsidR="00165664">
        <w:t xml:space="preserve">an entrance requirement. This would have minimal impact on NS, but would signal to the k-12 system that their ELL are not well enough prepared for tertiary studies. They must improve ELL services from k-12. The discrepancy between the exam mark and the school mark for ELL suggests that mark inflation is an issue that needs attention. </w:t>
      </w:r>
    </w:p>
    <w:p w:rsidR="00165664" w:rsidRDefault="00165664" w:rsidP="00EB186D">
      <w:pPr>
        <w:ind w:left="720"/>
      </w:pPr>
      <w:r>
        <w:rPr>
          <w:b/>
        </w:rPr>
        <w:t>Programming:</w:t>
      </w:r>
      <w:r>
        <w:t xml:space="preserve"> U. of C. might consider giving credit for English for Academic upgrading courses, Effective Writing courses, transitional courses to academic programs of studies.  Several other universities already have these supports in place, and they are credited. U. of C. needs to audit the programs and services available to ELL and co-ordinate these much better. </w:t>
      </w:r>
    </w:p>
    <w:p w:rsidR="000329DD" w:rsidRDefault="00165664" w:rsidP="00EB186D">
      <w:pPr>
        <w:ind w:left="720"/>
      </w:pPr>
      <w:r>
        <w:rPr>
          <w:b/>
        </w:rPr>
        <w:t>Services:</w:t>
      </w:r>
      <w:r>
        <w:t xml:space="preserve"> Program counselling and liaison prior to students attending university, while still in high school.  Information students can benefit from would include ‘go slow’ and ‘lighten the load’. Fewer courses stretched over a longer time and a balanced program might result in better GPA, fewer failed courses, less wasted tuition money, and more seats available for competent and deserving students who are currently turned away. </w:t>
      </w:r>
    </w:p>
    <w:p w:rsidR="00EB186D" w:rsidRPr="00EB186D" w:rsidRDefault="000329DD" w:rsidP="00EB186D">
      <w:pPr>
        <w:ind w:left="720"/>
      </w:pPr>
      <w:r>
        <w:rPr>
          <w:b/>
        </w:rPr>
        <w:t xml:space="preserve">Pedagogy in tertiary settings:  </w:t>
      </w:r>
      <w:r w:rsidRPr="000329DD">
        <w:t>Staff</w:t>
      </w:r>
      <w:r>
        <w:t xml:space="preserve"> development activities need to be made available to enhance the quality of teaching</w:t>
      </w:r>
      <w:r w:rsidRPr="000329DD">
        <w:t xml:space="preserve"> </w:t>
      </w:r>
      <w:r>
        <w:t xml:space="preserve">for all students who attend university, but especially for those with English language learning needs. As these institutions move to more constructivist modes of teaching including project work, presentations, and group work, and alternate methods of course delivery (distance, blended, face to face) thought must be directed to the scaffolds and supports that can be provided to make success possible for ELL.   </w:t>
      </w:r>
      <w:r w:rsidR="00165664" w:rsidRPr="000329DD">
        <w:t xml:space="preserve"> </w:t>
      </w:r>
      <w:r w:rsidR="00165664">
        <w:t xml:space="preserve">     </w:t>
      </w:r>
    </w:p>
    <w:sectPr w:rsidR="00EB186D" w:rsidRPr="00EB186D" w:rsidSect="005A06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25750"/>
    <w:multiLevelType w:val="hybridMultilevel"/>
    <w:tmpl w:val="2294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A14934"/>
    <w:multiLevelType w:val="hybridMultilevel"/>
    <w:tmpl w:val="D3505C12"/>
    <w:lvl w:ilvl="0" w:tplc="5D283260">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63804"/>
    <w:rsid w:val="000329DD"/>
    <w:rsid w:val="00050112"/>
    <w:rsid w:val="000A1A43"/>
    <w:rsid w:val="00152970"/>
    <w:rsid w:val="00165664"/>
    <w:rsid w:val="003B2E2A"/>
    <w:rsid w:val="00490C16"/>
    <w:rsid w:val="005A0657"/>
    <w:rsid w:val="00652CC1"/>
    <w:rsid w:val="006F2804"/>
    <w:rsid w:val="007B0B67"/>
    <w:rsid w:val="007B7BDB"/>
    <w:rsid w:val="008034A2"/>
    <w:rsid w:val="0082409D"/>
    <w:rsid w:val="009C75B9"/>
    <w:rsid w:val="00A13356"/>
    <w:rsid w:val="00A84F68"/>
    <w:rsid w:val="00AF0289"/>
    <w:rsid w:val="00BD0B97"/>
    <w:rsid w:val="00CE0F97"/>
    <w:rsid w:val="00CF5AA5"/>
    <w:rsid w:val="00D63804"/>
    <w:rsid w:val="00EB035C"/>
    <w:rsid w:val="00EB186D"/>
    <w:rsid w:val="00F6419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804"/>
    <w:pPr>
      <w:spacing w:after="0" w:line="240" w:lineRule="auto"/>
    </w:pPr>
    <w:rPr>
      <w:rFonts w:ascii="Times New Roman" w:eastAsia="MS Mincho" w:hAnsi="Times New Roman" w:cs="Times New Roman"/>
      <w:sz w:val="24"/>
      <w:szCs w:val="24"/>
      <w:lang w:val="en-CA"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34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6419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Calgary</Company>
  <LinksUpToDate>false</LinksUpToDate>
  <CharactersWithSpaces>8590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Calgary</dc:creator>
  <cp:keywords/>
  <dc:description/>
  <cp:lastModifiedBy>Lenise Anderson</cp:lastModifiedBy>
  <cp:revision>2</cp:revision>
  <dcterms:created xsi:type="dcterms:W3CDTF">2009-06-12T16:13:00Z</dcterms:created>
  <dcterms:modified xsi:type="dcterms:W3CDTF">2009-06-12T16:13:00Z</dcterms:modified>
</cp:coreProperties>
</file>